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rFonts w:ascii="Source Sans 3" w:cs="Source Sans 3" w:eastAsia="Source Sans 3" w:hAnsi="Source Sans 3"/>
          <w:b w:val="1"/>
          <w:bCs w:val="1"/>
        </w:rPr>
      </w:pPr>
      <w:r w:rsidDel="00000000" w:rsidR="00000000" w:rsidRPr="00000000">
        <w:rPr>
          <w:rtl w:val="0"/>
        </w:rPr>
      </w:r>
    </w:p>
    <w:p w:rsidR="00000000" w:rsidDel="00000000" w:rsidP="00000000" w:rsidRDefault="00000000" w:rsidRPr="00000000" w14:paraId="00000002">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b w:val="1"/>
          <w:bCs w:val="1"/>
          <w:sz w:val="32"/>
          <w:szCs w:val="32"/>
          <w:rtl w:val="0"/>
        </w:rPr>
        <w:t xml:space="preserve">Taushetserklæring</w:t>
      </w:r>
      <w:r w:rsidDel="00000000" w:rsidR="00000000" w:rsidRPr="00000000">
        <w:rPr>
          <w:rtl w:val="0"/>
        </w:rPr>
      </w:r>
    </w:p>
    <w:p w:rsidR="00000000" w:rsidDel="00000000" w:rsidP="00000000" w:rsidRDefault="00000000" w:rsidRPr="00000000" w14:paraId="00000003">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Jeg, ______________, forplikter meg til å bevare fullstendig taushet om alle fortrolige opplysninger og informasjon som jeg får kjennskap til i forbindelse med mitt arbeid for Trondheim kommune. </w:t>
      </w:r>
    </w:p>
    <w:p w:rsidR="00000000" w:rsidDel="00000000" w:rsidP="00000000" w:rsidRDefault="00000000" w:rsidRPr="00000000" w14:paraId="00000004">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Jeg er innforstått med og aksepterer at jeg heller ikke kan bruke eller utnytte fortrolige opplysninger som er omfattet av taushetsplikten i egen virksomhet eller i tjeneste eller arbeid hos andre. </w:t>
      </w:r>
    </w:p>
    <w:p w:rsidR="00000000" w:rsidDel="00000000" w:rsidP="00000000" w:rsidRDefault="00000000" w:rsidRPr="00000000" w14:paraId="00000005">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Med fortrolige opplysninger menes all informasjon som ikke er alminnelig kjent, og som etter en forsiktig vurdering bør forstås at kan ha betydning å hemmeligholde, herunder opplysninger av teknisk, økonomisk eller personlig art, opplysninger om arbeidsmetoder, anbudspriser, anbud, dataprogrammer, markedsplaner og lignende. </w:t>
      </w:r>
    </w:p>
    <w:p w:rsidR="00000000" w:rsidDel="00000000" w:rsidP="00000000" w:rsidRDefault="00000000" w:rsidRPr="00000000" w14:paraId="00000006">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Taushetsplikten gjelder overfor alle. </w:t>
      </w:r>
    </w:p>
    <w:p w:rsidR="00000000" w:rsidDel="00000000" w:rsidP="00000000" w:rsidRDefault="00000000" w:rsidRPr="00000000" w14:paraId="00000007">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Taushetsplikten gjelder også opplysninger om kundeforhold som er omfattet av offentlighetsloven § 13, jf. forvaltningsloven § 13. Jeg er også kjent med de regler som gjelder for behandling av personopplysninger som fremgår av personvernforordningen artikkel 5 til og med artikkel 11, samt personopplysningsloven kapittel 3. </w:t>
      </w:r>
    </w:p>
    <w:p w:rsidR="00000000" w:rsidDel="00000000" w:rsidP="00000000" w:rsidRDefault="00000000" w:rsidRPr="00000000" w14:paraId="00000008">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Taushetsplikten er ikke tidsbegrenset, og gjelder også etter avslutning av mitt oppdrag for Trondheim kommune. </w:t>
      </w:r>
    </w:p>
    <w:p w:rsidR="00000000" w:rsidDel="00000000" w:rsidP="00000000" w:rsidRDefault="00000000" w:rsidRPr="00000000" w14:paraId="00000009">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I tillegg til ovennevnte avtalefestede taushetsplikt er jeg kjent med at brudd på taushetsplikten kan medføre straffeansvar og/eller erstatningsansvar etter straffeloven og markedsføringsloven, jf. straffeloven kapittel 21 og markedsføringsloven kapittel 6. Jeg er innforstått med at taushetsplikten også omfatter forhold som går inn under bestemmelser av tilsvarende karakter i ny lovgivning.</w:t>
      </w:r>
    </w:p>
    <w:p w:rsidR="00000000" w:rsidDel="00000000" w:rsidP="00000000" w:rsidRDefault="00000000" w:rsidRPr="00000000" w14:paraId="0000000A">
      <w:pPr>
        <w:spacing w:after="240" w:before="240" w:lineRule="auto"/>
        <w:rPr>
          <w:rFonts w:ascii="Source Sans 3" w:cs="Source Sans 3" w:eastAsia="Source Sans 3" w:hAnsi="Source Sans 3"/>
        </w:rPr>
      </w:pPr>
      <w:r w:rsidDel="00000000" w:rsidR="00000000" w:rsidRPr="00000000">
        <w:rPr>
          <w:rtl w:val="0"/>
        </w:rPr>
      </w:r>
    </w:p>
    <w:p w:rsidR="00000000" w:rsidDel="00000000" w:rsidP="00000000" w:rsidRDefault="00000000" w:rsidRPr="00000000" w14:paraId="0000000B">
      <w:pPr>
        <w:spacing w:after="240" w:before="240" w:lineRule="auto"/>
        <w:jc w:val="center"/>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w:t>
      </w:r>
      <w:r w:rsidDel="00000000" w:rsidR="00000000" w:rsidRPr="00000000">
        <w:rPr>
          <w:rFonts w:ascii="Source Sans 3" w:cs="Source Sans 3" w:eastAsia="Source Sans 3" w:hAnsi="Source Sans 3"/>
          <w:highlight w:val="yellow"/>
          <w:rtl w:val="0"/>
        </w:rPr>
        <w:t xml:space="preserve">Sted], [dato</w:t>
      </w:r>
      <w:r w:rsidDel="00000000" w:rsidR="00000000" w:rsidRPr="00000000">
        <w:rPr>
          <w:rFonts w:ascii="Source Sans 3" w:cs="Source Sans 3" w:eastAsia="Source Sans 3" w:hAnsi="Source Sans 3"/>
          <w:rtl w:val="0"/>
        </w:rPr>
        <w:t xml:space="preserve">]</w:t>
      </w:r>
    </w:p>
    <w:p w:rsidR="00000000" w:rsidDel="00000000" w:rsidP="00000000" w:rsidRDefault="00000000" w:rsidRPr="00000000" w14:paraId="0000000C">
      <w:pPr>
        <w:spacing w:after="240" w:before="240" w:lineRule="auto"/>
        <w:jc w:val="center"/>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  </w:t>
      </w:r>
    </w:p>
    <w:p w:rsidR="00000000" w:rsidDel="00000000" w:rsidP="00000000" w:rsidRDefault="00000000" w:rsidRPr="00000000" w14:paraId="0000000D">
      <w:pPr>
        <w:spacing w:after="240" w:before="240" w:lineRule="auto"/>
        <w:jc w:val="center"/>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__________________________________</w:t>
      </w:r>
    </w:p>
    <w:p w:rsidR="00000000" w:rsidDel="00000000" w:rsidP="00000000" w:rsidRDefault="00000000" w:rsidRPr="00000000" w14:paraId="0000000E">
      <w:pPr>
        <w:spacing w:after="240" w:before="240" w:lineRule="auto"/>
        <w:jc w:val="center"/>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w:t>
      </w:r>
      <w:r w:rsidDel="00000000" w:rsidR="00000000" w:rsidRPr="00000000">
        <w:rPr>
          <w:rFonts w:ascii="Source Sans 3" w:cs="Source Sans 3" w:eastAsia="Source Sans 3" w:hAnsi="Source Sans 3"/>
          <w:highlight w:val="yellow"/>
          <w:rtl w:val="0"/>
        </w:rPr>
        <w:t xml:space="preserve">Leverandørnav</w:t>
      </w:r>
      <w:r w:rsidDel="00000000" w:rsidR="00000000" w:rsidRPr="00000000">
        <w:rPr>
          <w:rFonts w:ascii="Source Sans 3" w:cs="Source Sans 3" w:eastAsia="Source Sans 3" w:hAnsi="Source Sans 3"/>
          <w:rtl w:val="0"/>
        </w:rPr>
        <w:t xml:space="preserve">n] [</w:t>
      </w:r>
      <w:r w:rsidDel="00000000" w:rsidR="00000000" w:rsidRPr="00000000">
        <w:rPr>
          <w:rFonts w:ascii="Source Sans 3" w:cs="Source Sans 3" w:eastAsia="Source Sans 3" w:hAnsi="Source Sans 3"/>
          <w:highlight w:val="yellow"/>
          <w:rtl w:val="0"/>
        </w:rPr>
        <w:t xml:space="preserve">Navn ansat</w:t>
      </w:r>
      <w:r w:rsidDel="00000000" w:rsidR="00000000" w:rsidRPr="00000000">
        <w:rPr>
          <w:rFonts w:ascii="Source Sans 3" w:cs="Source Sans 3" w:eastAsia="Source Sans 3" w:hAnsi="Source Sans 3"/>
          <w:rtl w:val="0"/>
        </w:rPr>
        <w:t xml:space="preserve">t]</w:t>
      </w:r>
    </w:p>
    <w:p w:rsidR="00000000" w:rsidDel="00000000" w:rsidP="00000000" w:rsidRDefault="00000000" w:rsidRPr="00000000" w14:paraId="0000000F">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Personvernforordningen artikkel 5 til og med 11, samt Personopplysningsloven §§ 5 og 6.</w:t>
      </w:r>
    </w:p>
    <w:p w:rsidR="00000000" w:rsidDel="00000000" w:rsidP="00000000" w:rsidRDefault="00000000" w:rsidRPr="00000000" w14:paraId="00000010">
      <w:pPr>
        <w:spacing w:after="0" w:before="240" w:line="276"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 </w:t>
      </w:r>
    </w:p>
    <w:p w:rsidR="00000000" w:rsidDel="00000000" w:rsidP="00000000" w:rsidRDefault="00000000" w:rsidRPr="00000000" w14:paraId="00000011">
      <w:pPr>
        <w:spacing w:after="0" w:before="240" w:line="276" w:lineRule="auto"/>
        <w:rPr>
          <w:rFonts w:ascii="Source Sans 3" w:cs="Source Sans 3" w:eastAsia="Source Sans 3" w:hAnsi="Source Sans 3"/>
          <w:b w:val="1"/>
          <w:bCs w:val="1"/>
        </w:rPr>
      </w:pPr>
      <w:r w:rsidDel="00000000" w:rsidR="00000000" w:rsidRPr="00000000">
        <w:rPr>
          <w:rFonts w:ascii="Source Sans 3" w:cs="Source Sans 3" w:eastAsia="Source Sans 3" w:hAnsi="Source Sans 3"/>
          <w:b w:val="1"/>
          <w:bCs w:val="1"/>
          <w:rtl w:val="0"/>
        </w:rPr>
        <w:t xml:space="preserve">Personopplysningslovens overordnede formål vedrørende de alminnelige regler for behandling av personopplysninger</w:t>
      </w:r>
    </w:p>
    <w:p w:rsidR="00000000" w:rsidDel="00000000" w:rsidP="00000000" w:rsidRDefault="00000000" w:rsidRPr="00000000" w14:paraId="00000012">
      <w:pPr>
        <w:spacing w:after="0" w:before="240" w:line="276"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 </w:t>
      </w:r>
    </w:p>
    <w:p w:rsidR="00000000" w:rsidDel="00000000" w:rsidP="00000000" w:rsidRDefault="00000000" w:rsidRPr="00000000" w14:paraId="00000013">
      <w:pPr>
        <w:spacing w:after="0" w:before="240" w:line="276"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Lovens utgangspunkt er at alle mennesker eier informasjonen om seg selv.</w:t>
      </w:r>
    </w:p>
    <w:p w:rsidR="00000000" w:rsidDel="00000000" w:rsidP="00000000" w:rsidRDefault="00000000" w:rsidRPr="00000000" w14:paraId="00000014">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Når man i forbindelse med oppdrag på vegne av Trondheim kommune behandler informasjon om leverandører og ansatte, krever loven at vi har en hjemmel for behandling.</w:t>
      </w:r>
    </w:p>
    <w:p w:rsidR="00000000" w:rsidDel="00000000" w:rsidP="00000000" w:rsidRDefault="00000000" w:rsidRPr="00000000" w14:paraId="00000015">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Et utgangspunkt er at personopplysninger bare kan behandles dersom:</w:t>
      </w:r>
    </w:p>
    <w:p w:rsidR="00000000" w:rsidDel="00000000" w:rsidP="00000000" w:rsidRDefault="00000000" w:rsidRPr="00000000" w14:paraId="00000016">
      <w:pPr>
        <w:spacing w:after="240" w:before="240" w:lineRule="auto"/>
        <w:ind w:left="720" w:firstLine="0"/>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1. det er gitt samtykke, eller</w:t>
      </w:r>
    </w:p>
    <w:p w:rsidR="00000000" w:rsidDel="00000000" w:rsidP="00000000" w:rsidRDefault="00000000" w:rsidRPr="00000000" w14:paraId="00000017">
      <w:pPr>
        <w:spacing w:after="240" w:before="240" w:lineRule="auto"/>
        <w:ind w:left="720" w:firstLine="0"/>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2. behandlingen har hjemmel i lov, eller</w:t>
      </w:r>
    </w:p>
    <w:p w:rsidR="00000000" w:rsidDel="00000000" w:rsidP="00000000" w:rsidRDefault="00000000" w:rsidRPr="00000000" w14:paraId="00000018">
      <w:pPr>
        <w:spacing w:after="240" w:before="240" w:lineRule="auto"/>
        <w:ind w:left="720" w:firstLine="0"/>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3. behandlingen er nødvendig (iht. vilkår beskrevet i loven)</w:t>
      </w:r>
    </w:p>
    <w:p w:rsidR="00000000" w:rsidDel="00000000" w:rsidP="00000000" w:rsidRDefault="00000000" w:rsidRPr="00000000" w14:paraId="00000019">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Det er tilstrekkelig at ett av vilkårene er oppfylt.</w:t>
      </w:r>
    </w:p>
    <w:p w:rsidR="00000000" w:rsidDel="00000000" w:rsidP="00000000" w:rsidRDefault="00000000" w:rsidRPr="00000000" w14:paraId="0000001A">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Ved samtykke må informasjonen være tilstrekkelig slik at den registrerte vet hva vedkommende samtykker til.</w:t>
      </w:r>
    </w:p>
    <w:p w:rsidR="00000000" w:rsidDel="00000000" w:rsidP="00000000" w:rsidRDefault="00000000" w:rsidRPr="00000000" w14:paraId="0000001B">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Hvis du er usikker på om behandlingen av personopplysninger er lovlig, så har du plikt til å undersøke dette via din oppdragsgiver, Trondheim kommune.</w:t>
      </w:r>
    </w:p>
    <w:p w:rsidR="00000000" w:rsidDel="00000000" w:rsidP="00000000" w:rsidRDefault="00000000" w:rsidRPr="00000000" w14:paraId="0000001C">
      <w:pPr>
        <w:rPr>
          <w:rFonts w:ascii="Source Sans 3" w:cs="Source Sans 3" w:eastAsia="Source Sans 3" w:hAnsi="Source Sans 3"/>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133.8582677165355" w:top="1700.7874015748032" w:left="1133.8582677165355" w:right="1133.8582677165355" w:header="113.3858267716535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Source Serif Pro"/>
  <w:font w:name="Source Sans 3">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Style w:val="Heading2"/>
      <w:rPr/>
    </w:pPr>
    <w:bookmarkStart w:colFirst="0" w:colLast="0" w:name="_heading=h.ktnev5rsq0i8" w:id="0"/>
    <w:bookmarkEnd w:id="0"/>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Style w:val="Heading5"/>
      <w:spacing w:after="0" w:lineRule="auto"/>
      <w:rPr/>
    </w:pPr>
    <w:bookmarkStart w:colFirst="0" w:colLast="0" w:name="_heading=h.f494ftce0jv0"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spacing w:after="0" w:lineRule="auto"/>
      <w:jc w:val="left"/>
      <w:rPr>
        <w:rFonts w:ascii="Calibri" w:cs="Calibri" w:eastAsia="Calibri" w:hAnsi="Calibri"/>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spacing w:after="260" w:lineRule="auto"/>
      <w:jc w:val="right"/>
      <w:rPr>
        <w:rFonts w:ascii="Calibri" w:cs="Calibri" w:eastAsia="Calibri" w:hAnsi="Calibri"/>
        <w:sz w:val="20"/>
        <w:szCs w:val="20"/>
        <w:highlight w:val="yellow"/>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-152398</wp:posOffset>
          </wp:positionH>
          <wp:positionV relativeFrom="paragraph">
            <wp:posOffset>200025</wp:posOffset>
          </wp:positionV>
          <wp:extent cx="3643200" cy="1065600"/>
          <wp:effectExtent b="0" l="0" r="0" t="0"/>
          <wp:wrapNone/>
          <wp:docPr id="2" name="image1.png"/>
          <a:graphic>
            <a:graphicData uri="http://schemas.openxmlformats.org/drawingml/2006/picture">
              <pic:pic>
                <pic:nvPicPr>
                  <pic:cNvPr id="0" name="image1.png"/>
                  <pic:cNvPicPr preferRelativeResize="0"/>
                </pic:nvPicPr>
                <pic:blipFill>
                  <a:blip r:embed="rId1"/>
                  <a:srcRect b="30" l="0" r="0" t="30"/>
                  <a:stretch>
                    <a:fillRect/>
                  </a:stretch>
                </pic:blipFill>
                <pic:spPr>
                  <a:xfrm>
                    <a:off x="0" y="0"/>
                    <a:ext cx="3643200" cy="1065600"/>
                  </a:xfrm>
                  <a:prstGeom prst="rect"/>
                  <a:ln/>
                </pic:spPr>
              </pic:pic>
            </a:graphicData>
          </a:graphic>
        </wp:anchor>
      </w:drawing>
    </w:r>
  </w:p>
  <w:p w:rsidR="00000000" w:rsidDel="00000000" w:rsidP="00000000" w:rsidRDefault="00000000" w:rsidRPr="00000000" w14:paraId="0000001F">
    <w:pPr>
      <w:spacing w:after="0" w:lineRule="auto"/>
      <w:jc w:val="right"/>
      <w:rPr>
        <w:rFonts w:ascii="Calibri" w:cs="Calibri" w:eastAsia="Calibri" w:hAnsi="Calibri"/>
        <w:i w:val="1"/>
        <w:iCs w:val="1"/>
        <w:sz w:val="20"/>
        <w:szCs w:val="20"/>
      </w:rPr>
    </w:pPr>
    <w:r w:rsidDel="00000000" w:rsidR="00000000" w:rsidRPr="00000000">
      <w:rPr>
        <w:rtl w:val="0"/>
      </w:rPr>
    </w:r>
  </w:p>
  <w:p w:rsidR="00000000" w:rsidDel="00000000" w:rsidP="00000000" w:rsidRDefault="00000000" w:rsidRPr="00000000" w14:paraId="00000020">
    <w:pPr>
      <w:spacing w:after="0" w:lineRule="auto"/>
      <w:jc w:val="right"/>
      <w:rPr>
        <w:rFonts w:ascii="Calibri" w:cs="Calibri" w:eastAsia="Calibri" w:hAnsi="Calibri"/>
        <w:i w:val="1"/>
        <w:iCs w:val="1"/>
        <w:sz w:val="20"/>
        <w:szCs w:val="20"/>
      </w:rPr>
    </w:pPr>
    <w:r w:rsidDel="00000000" w:rsidR="00000000" w:rsidRPr="00000000">
      <w:rPr>
        <w:rtl w:val="0"/>
      </w:rPr>
    </w:r>
  </w:p>
  <w:p w:rsidR="00000000" w:rsidDel="00000000" w:rsidP="00000000" w:rsidRDefault="00000000" w:rsidRPr="00000000" w14:paraId="00000021">
    <w:pPr>
      <w:spacing w:after="0" w:lineRule="auto"/>
      <w:jc w:val="right"/>
      <w:rPr>
        <w:rFonts w:ascii="Calibri" w:cs="Calibri" w:eastAsia="Calibri" w:hAnsi="Calibri"/>
        <w:i w:val="1"/>
        <w:iCs w:val="1"/>
        <w:sz w:val="20"/>
        <w:szCs w:val="20"/>
      </w:rPr>
    </w:pPr>
    <w:r w:rsidDel="00000000" w:rsidR="00000000" w:rsidRPr="00000000">
      <w:rPr>
        <w:rFonts w:ascii="Calibri" w:cs="Calibri" w:eastAsia="Calibri" w:hAnsi="Calibri"/>
        <w:i w:val="1"/>
        <w:iCs w:val="1"/>
        <w:sz w:val="20"/>
        <w:szCs w:val="20"/>
        <w:rtl w:val="0"/>
      </w:rPr>
      <w:t xml:space="preserve">Vedlegg 5 </w:t>
    </w:r>
  </w:p>
  <w:p w:rsidR="00000000" w:rsidDel="00000000" w:rsidP="00000000" w:rsidRDefault="00000000" w:rsidRPr="00000000" w14:paraId="00000022">
    <w:pPr>
      <w:spacing w:after="0" w:lineRule="auto"/>
      <w:jc w:val="right"/>
      <w:rPr>
        <w:rFonts w:ascii="Calibri" w:cs="Calibri" w:eastAsia="Calibri" w:hAnsi="Calibri"/>
        <w:i w:val="1"/>
        <w:iCs w:val="1"/>
        <w:sz w:val="20"/>
        <w:szCs w:val="20"/>
      </w:rPr>
    </w:pPr>
    <w:r w:rsidDel="00000000" w:rsidR="00000000" w:rsidRPr="00000000">
      <w:rPr>
        <w:rFonts w:ascii="Calibri" w:cs="Calibri" w:eastAsia="Calibri" w:hAnsi="Calibri"/>
        <w:i w:val="1"/>
        <w:iCs w:val="1"/>
        <w:sz w:val="20"/>
        <w:szCs w:val="20"/>
        <w:rtl w:val="0"/>
      </w:rPr>
      <w:t xml:space="preserve">Taushetserklæring</w:t>
    </w:r>
  </w:p>
  <w:p w:rsidR="00000000" w:rsidDel="00000000" w:rsidP="00000000" w:rsidRDefault="00000000" w:rsidRPr="00000000" w14:paraId="00000023">
    <w:pPr>
      <w:spacing w:after="0" w:lineRule="auto"/>
      <w:jc w:val="right"/>
      <w:rPr>
        <w:rFonts w:ascii="Calibri" w:cs="Calibri" w:eastAsia="Calibri" w:hAnsi="Calibri"/>
        <w:i w:val="1"/>
        <w:iCs w:val="1"/>
        <w:sz w:val="20"/>
        <w:szCs w:val="20"/>
      </w:rPr>
    </w:pPr>
    <w:r w:rsidDel="00000000" w:rsidR="00000000" w:rsidRPr="00000000">
      <w:rPr>
        <w:rFonts w:ascii="Calibri" w:cs="Calibri" w:eastAsia="Calibri" w:hAnsi="Calibri"/>
        <w:i w:val="1"/>
        <w:iCs w:val="1"/>
        <w:sz w:val="20"/>
        <w:szCs w:val="20"/>
        <w:rtl w:val="0"/>
      </w:rPr>
      <w:t xml:space="preserve">2026 Rammeavtale betongprodukter</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Source Sans Pro" w:cs="Source Sans Pro" w:eastAsia="Source Sans Pro" w:hAnsi="Source Sans Pro"/>
        <w:sz w:val="24"/>
        <w:szCs w:val="24"/>
        <w:lang w:val="no"/>
      </w:rPr>
    </w:rPrDefault>
    <w:pPrDefault>
      <w:pPr>
        <w:widowControl w:val="0"/>
        <w:spacing w:after="2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00" w:lineRule="auto"/>
    </w:pPr>
    <w:rPr>
      <w:rFonts w:ascii="Source Serif Pro" w:cs="Source Serif Pro" w:eastAsia="Source Serif Pro" w:hAnsi="Source Serif Pro"/>
      <w:sz w:val="36"/>
      <w:szCs w:val="36"/>
    </w:rPr>
  </w:style>
  <w:style w:type="paragraph" w:styleId="Heading2">
    <w:name w:val="heading 2"/>
    <w:basedOn w:val="Normal"/>
    <w:next w:val="Normal"/>
    <w:pPr>
      <w:keepNext w:val="1"/>
      <w:keepLines w:val="1"/>
      <w:spacing w:after="0" w:before="200" w:lineRule="auto"/>
    </w:pPr>
    <w:rPr>
      <w:rFonts w:ascii="Source Serif Pro" w:cs="Source Serif Pro" w:eastAsia="Source Serif Pro" w:hAnsi="Source Serif Pro"/>
      <w:sz w:val="28"/>
      <w:szCs w:val="28"/>
    </w:rPr>
  </w:style>
  <w:style w:type="paragraph" w:styleId="Heading3">
    <w:name w:val="heading 3"/>
    <w:basedOn w:val="Normal"/>
    <w:next w:val="Normal"/>
    <w:pPr>
      <w:keepNext w:val="1"/>
      <w:keepLines w:val="1"/>
      <w:spacing w:after="0" w:lineRule="auto"/>
    </w:pPr>
    <w:rPr>
      <w:b w:val="1"/>
      <w:bCs w:val="1"/>
    </w:rPr>
  </w:style>
  <w:style w:type="paragraph" w:styleId="Heading4">
    <w:name w:val="heading 4"/>
    <w:basedOn w:val="Normal"/>
    <w:next w:val="Normal"/>
    <w:pPr>
      <w:keepNext w:val="1"/>
      <w:keepLines w:val="1"/>
      <w:spacing w:after="0" w:lineRule="auto"/>
    </w:pPr>
    <w:rPr>
      <w:b w:val="1"/>
      <w:bCs w:val="1"/>
    </w:rPr>
  </w:style>
  <w:style w:type="paragraph" w:styleId="Heading5">
    <w:name w:val="heading 5"/>
    <w:basedOn w:val="Normal"/>
    <w:next w:val="Normal"/>
    <w:pPr>
      <w:keepNext w:val="1"/>
      <w:keepLines w:val="1"/>
      <w:spacing w:after="0" w:lineRule="auto"/>
    </w:pPr>
    <w:rPr>
      <w:sz w:val="20"/>
      <w:szCs w:val="20"/>
    </w:rPr>
  </w:style>
  <w:style w:type="paragraph" w:styleId="Heading6">
    <w:name w:val="heading 6"/>
    <w:basedOn w:val="Normal"/>
    <w:next w:val="Normal"/>
    <w:pPr>
      <w:keepNext w:val="1"/>
      <w:keepLines w:val="1"/>
      <w:tabs>
        <w:tab w:val="left" w:leader="none" w:pos="-1702"/>
        <w:tab w:val="left" w:leader="none" w:pos="-1136"/>
        <w:tab w:val="left" w:leader="none" w:pos="-570"/>
        <w:tab w:val="left" w:leader="none" w:pos="-4"/>
        <w:tab w:val="left" w:leader="none" w:pos="562"/>
        <w:tab w:val="left" w:leader="none" w:pos="1128"/>
        <w:tab w:val="left" w:leader="none" w:pos="1694"/>
        <w:tab w:val="left" w:leader="none" w:pos="2260"/>
        <w:tab w:val="left" w:leader="none" w:pos="2826"/>
        <w:tab w:val="left" w:leader="none" w:pos="3392"/>
        <w:tab w:val="left" w:leader="none" w:pos="3958"/>
        <w:tab w:val="left" w:leader="none" w:pos="4524"/>
        <w:tab w:val="left" w:leader="none" w:pos="5090"/>
        <w:tab w:val="left" w:leader="none" w:pos="5656"/>
        <w:tab w:val="left" w:leader="none" w:pos="6222"/>
        <w:tab w:val="left" w:leader="none" w:pos="6788"/>
        <w:tab w:val="left" w:leader="none" w:pos="7354"/>
        <w:tab w:val="left" w:leader="none" w:pos="7920"/>
        <w:tab w:val="left" w:leader="none" w:pos="8486"/>
        <w:tab w:val="left" w:leader="none" w:pos="9052"/>
      </w:tabs>
      <w:spacing w:after="0" w:lineRule="auto"/>
      <w:ind w:left="-568" w:right="57"/>
    </w:pPr>
    <w:rPr>
      <w:sz w:val="12"/>
      <w:szCs w:val="12"/>
    </w:rPr>
  </w:style>
  <w:style w:type="paragraph" w:styleId="Title">
    <w:name w:val="Title"/>
    <w:basedOn w:val="Normal"/>
    <w:next w:val="Normal"/>
    <w:pPr>
      <w:keepNext w:val="1"/>
      <w:keepLines w:val="1"/>
      <w:spacing w:before="720" w:lineRule="auto"/>
    </w:pPr>
    <w:rPr>
      <w:rFonts w:ascii="Source Serif Pro" w:cs="Source Serif Pro" w:eastAsia="Source Serif Pro" w:hAnsi="Source Serif Pro"/>
      <w:color w:val="005aa7"/>
      <w:sz w:val="48"/>
      <w:szCs w:val="48"/>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spacing w:after="80" w:before="360" w:lineRule="auto"/>
    </w:pPr>
    <w:rPr>
      <w:rFonts w:ascii="Source Serif Pro" w:cs="Source Serif Pro" w:eastAsia="Source Serif Pro" w:hAnsi="Source Serif Pro"/>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SourceSans3-regular.ttf"/><Relationship Id="rId2" Type="http://schemas.openxmlformats.org/officeDocument/2006/relationships/font" Target="fonts/SourceSans3-bold.ttf"/><Relationship Id="rId3" Type="http://schemas.openxmlformats.org/officeDocument/2006/relationships/font" Target="fonts/SourceSans3-italic.ttf"/><Relationship Id="rId4" Type="http://schemas.openxmlformats.org/officeDocument/2006/relationships/font" Target="fonts/SourceSans3-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4NkmU1AxBJj9jKcSFVHLy9N+DQ==">CgMxLjAyDmgua3RuZXY1cnNxMGk4Mg5oLmY0OTRmdGNlMGp2MDgAciExUGs5TUhvV1g1MC1RX19KeldfUklMQzNWeHZObWliRlg=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